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-379091</wp:posOffset>
            </wp:positionV>
            <wp:extent cx="3683635" cy="75501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Fara in Sabina (Ri) 4, 5, 6, 7 Settembre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00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6400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006400"/>
          <w:sz w:val="24"/>
          <w:szCs w:val="24"/>
          <w:u w:val="none"/>
          <w:shd w:fill="auto" w:val="clear"/>
          <w:vertAlign w:val="baseline"/>
          <w:rtl w:val="0"/>
        </w:rPr>
        <w:t xml:space="preserve">Percorso   Musica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Titolo _______________________________________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Genere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giovedì 4 [ ]</w:t>
        <w:tab/>
        <w:t xml:space="preserve">venerdì 5 [ ]</w:t>
        <w:tab/>
        <w:t xml:space="preserve">sabato 6 [ ]</w:t>
        <w:tab/>
        <w:t xml:space="preserve"> domenica 7 [ ]</w:t>
        <w:tab/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ARTEr.i.e. dei Piccoli [ ]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musica@arterie.org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0fcB4tbsvHnxBrdaQ6rl4Dz9w==">CgMxLjA4AHIhMXdheUlERkhFZXZYVDFHZEd1M2Z6TGxlUkwtV2RtVVls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